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line="560" w:lineRule="exact"/>
        <w:ind w:left="0" w:left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名词</w:t>
      </w:r>
      <w:r>
        <w:rPr>
          <w:rFonts w:hint="eastAsia" w:ascii="方正小标宋_GBK" w:hAnsi="方正小标宋_GBK" w:eastAsia="方正小标宋_GBK" w:cs="方正小标宋_GBK"/>
          <w:sz w:val="44"/>
          <w:szCs w:val="44"/>
        </w:rPr>
        <w:t>解释</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640" w:firstLineChars="200"/>
        <w:textAlignment w:val="auto"/>
        <w:outlineLvl w:val="0"/>
        <w:rPr>
          <w:rFonts w:ascii="仿宋_GB2312" w:hAnsi="仿宋_GB2312" w:eastAsia="仿宋_GB2312" w:cs="仿宋_GB2312"/>
          <w:sz w:val="32"/>
          <w:szCs w:val="32"/>
        </w:rPr>
      </w:pPr>
    </w:p>
    <w:p>
      <w:pPr>
        <w:pStyle w:val="4"/>
        <w:keepNext w:val="0"/>
        <w:keepLines w:val="0"/>
        <w:pageBreakBefore w:val="0"/>
        <w:numPr>
          <w:ilvl w:val="0"/>
          <w:numId w:val="0"/>
        </w:numPr>
        <w:kinsoku/>
        <w:wordWrap/>
        <w:overflowPunct/>
        <w:topLinePunct w:val="0"/>
        <w:autoSpaceDE/>
        <w:bidi w:val="0"/>
        <w:snapToGrid w:val="0"/>
        <w:spacing w:line="560" w:lineRule="exact"/>
        <w:ind w:left="0" w:leftChars="0"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1.创投基金：</w:t>
      </w:r>
      <w:r>
        <w:rPr>
          <w:rFonts w:hAnsi="仿宋_GB2312" w:eastAsia="仿宋_GB2312" w:cs="仿宋_GB2312"/>
          <w:sz w:val="32"/>
          <w:szCs w:val="32"/>
        </w:rPr>
        <w:t>是指</w:t>
      </w:r>
      <w:r>
        <w:rPr>
          <w:rFonts w:hint="eastAsia" w:ascii="仿宋_GB2312" w:hAnsi="仿宋_GB2312" w:eastAsia="仿宋_GB2312" w:cs="仿宋_GB2312"/>
          <w:sz w:val="32"/>
          <w:szCs w:val="32"/>
        </w:rPr>
        <w:t>在中国证券投资基金</w:t>
      </w:r>
      <w:bookmarkStart w:id="0" w:name="_GoBack"/>
      <w:bookmarkEnd w:id="0"/>
      <w:r>
        <w:rPr>
          <w:rFonts w:hint="eastAsia" w:ascii="仿宋_GB2312" w:hAnsi="仿宋_GB2312" w:eastAsia="仿宋_GB2312" w:cs="仿宋_GB2312"/>
          <w:sz w:val="32"/>
          <w:szCs w:val="32"/>
        </w:rPr>
        <w:t>业协会备案为创业投资基金类别</w:t>
      </w:r>
      <w:r>
        <w:rPr>
          <w:rFonts w:hAnsi="仿宋_GB2312" w:eastAsia="仿宋_GB2312" w:cs="仿宋_GB2312"/>
          <w:sz w:val="32"/>
          <w:szCs w:val="32"/>
        </w:rPr>
        <w:t>的基金</w:t>
      </w:r>
      <w:r>
        <w:rPr>
          <w:rFonts w:hint="eastAsia" w:ascii="仿宋_GB2312" w:hAnsi="仿宋_GB2312" w:eastAsia="仿宋_GB2312" w:cs="仿宋_GB2312"/>
          <w:sz w:val="32"/>
          <w:szCs w:val="32"/>
        </w:rPr>
        <w:t>。</w:t>
      </w:r>
    </w:p>
    <w:p>
      <w:pPr>
        <w:pStyle w:val="4"/>
        <w:keepNext w:val="0"/>
        <w:keepLines w:val="0"/>
        <w:pageBreakBefore w:val="0"/>
        <w:numPr>
          <w:ilvl w:val="0"/>
          <w:numId w:val="0"/>
        </w:numPr>
        <w:kinsoku/>
        <w:wordWrap/>
        <w:overflowPunct/>
        <w:topLinePunct w:val="0"/>
        <w:autoSpaceDE/>
        <w:bidi w:val="0"/>
        <w:snapToGrid w:val="0"/>
        <w:spacing w:line="560" w:lineRule="exact"/>
        <w:ind w:left="0" w:leftChars="0"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2.私募股权二级市场基金（即S基金）：是指参与已设立私募基金投资标的以及份额投资的基金。</w:t>
      </w:r>
    </w:p>
    <w:p>
      <w:pPr>
        <w:pStyle w:val="4"/>
        <w:keepNext w:val="0"/>
        <w:keepLines w:val="0"/>
        <w:pageBreakBefore w:val="0"/>
        <w:numPr>
          <w:ilvl w:val="0"/>
          <w:numId w:val="0"/>
        </w:numPr>
        <w:kinsoku/>
        <w:wordWrap/>
        <w:overflowPunct/>
        <w:topLinePunct w:val="0"/>
        <w:autoSpaceDE/>
        <w:bidi w:val="0"/>
        <w:snapToGrid w:val="0"/>
        <w:spacing w:line="560" w:lineRule="exact"/>
        <w:ind w:left="0" w:leftChars="0"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3.并购基金：是</w:t>
      </w:r>
      <w:r>
        <w:rPr>
          <w:rFonts w:hAnsi="仿宋_GB2312" w:eastAsia="仿宋_GB2312" w:cs="仿宋_GB2312"/>
          <w:sz w:val="32"/>
          <w:szCs w:val="32"/>
        </w:rPr>
        <w:t>指</w:t>
      </w:r>
      <w:r>
        <w:rPr>
          <w:rFonts w:hint="eastAsia" w:ascii="仿宋_GB2312" w:hAnsi="仿宋_GB2312" w:eastAsia="仿宋_GB2312" w:cs="仿宋_GB2312"/>
          <w:sz w:val="32"/>
          <w:szCs w:val="32"/>
        </w:rPr>
        <w:t>专注于对目标企业进行并购重组的股权投资基金。</w:t>
      </w:r>
    </w:p>
    <w:p>
      <w:pPr>
        <w:pStyle w:val="4"/>
        <w:keepNext w:val="0"/>
        <w:keepLines w:val="0"/>
        <w:pageBreakBefore w:val="0"/>
        <w:numPr>
          <w:ilvl w:val="0"/>
          <w:numId w:val="0"/>
        </w:numPr>
        <w:kinsoku/>
        <w:wordWrap/>
        <w:overflowPunct/>
        <w:topLinePunct w:val="0"/>
        <w:autoSpaceDE/>
        <w:bidi w:val="0"/>
        <w:spacing w:line="560" w:lineRule="exact"/>
        <w:ind w:left="0" w:leftChars="0"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4.中关村示范区高精尖产业领域：是指新一代信息技术、医药健康、智能制造、新材料、新能源等产业领域。具体领域可按照年度工作重点进行调整，详见年度项目申报通知。</w:t>
      </w:r>
    </w:p>
    <w:p>
      <w:pPr>
        <w:pStyle w:val="4"/>
        <w:keepNext w:val="0"/>
        <w:keepLines w:val="0"/>
        <w:pageBreakBefore w:val="0"/>
        <w:numPr>
          <w:ilvl w:val="0"/>
          <w:numId w:val="0"/>
        </w:numPr>
        <w:kinsoku/>
        <w:wordWrap/>
        <w:overflowPunct/>
        <w:topLinePunct w:val="0"/>
        <w:autoSpaceDE/>
        <w:bidi w:val="0"/>
        <w:snapToGrid w:val="0"/>
        <w:spacing w:line="560" w:lineRule="exact"/>
        <w:ind w:left="0" w:leftChars="0"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5.交易费用：是指基金份额在北京股权交易中心转让过程中产生的挂牌费、转让服务费、资金结算费等。</w:t>
      </w:r>
    </w:p>
    <w:p>
      <w:pPr>
        <w:pStyle w:val="4"/>
        <w:keepNext w:val="0"/>
        <w:keepLines w:val="0"/>
        <w:pageBreakBefore w:val="0"/>
        <w:numPr>
          <w:ilvl w:val="0"/>
          <w:numId w:val="0"/>
        </w:numPr>
        <w:kinsoku/>
        <w:wordWrap/>
        <w:overflowPunct/>
        <w:topLinePunct w:val="0"/>
        <w:autoSpaceDE/>
        <w:bidi w:val="0"/>
        <w:snapToGrid w:val="0"/>
        <w:spacing w:line="560" w:lineRule="exact"/>
        <w:ind w:left="0" w:leftChars="0"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6.中介服务机构费用：是指基金为达成转让交易而产生的聘请中介机构的费用，具体包括评估估值费用、审计费用、法律服务费用等。</w:t>
      </w:r>
    </w:p>
    <w:p>
      <w:pPr>
        <w:pStyle w:val="5"/>
        <w:keepNext w:val="0"/>
        <w:keepLines w:val="0"/>
        <w:pageBreakBefore w:val="0"/>
        <w:kinsoku/>
        <w:wordWrap/>
        <w:overflowPunct/>
        <w:topLinePunct w:val="0"/>
        <w:autoSpaceDE/>
        <w:bidi w:val="0"/>
        <w:adjustRightInd w:val="0"/>
        <w:snapToGrid w:val="0"/>
        <w:spacing w:line="56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7.知识产权质押贷款：</w:t>
      </w:r>
      <w:r>
        <w:rPr>
          <w:rFonts w:ascii="仿宋_GB2312" w:hAnsi="仿宋_GB2312" w:eastAsia="仿宋_GB2312" w:cs="仿宋_GB2312"/>
          <w:sz w:val="32"/>
          <w:szCs w:val="32"/>
        </w:rPr>
        <w:t>是指企业通过将合法拥有的专利权、商标权、著作权等知识产权作为主要质押物，从银行获得的贷款</w:t>
      </w:r>
      <w:r>
        <w:rPr>
          <w:rFonts w:hint="eastAsia" w:ascii="仿宋_GB2312" w:hAnsi="仿宋_GB2312" w:eastAsia="仿宋_GB2312" w:cs="仿宋_GB2312"/>
          <w:sz w:val="32"/>
          <w:szCs w:val="32"/>
        </w:rPr>
        <w:t>。</w:t>
      </w:r>
    </w:p>
    <w:p>
      <w:pPr>
        <w:pStyle w:val="5"/>
        <w:keepNext w:val="0"/>
        <w:keepLines w:val="0"/>
        <w:pageBreakBefore w:val="0"/>
        <w:kinsoku/>
        <w:wordWrap/>
        <w:overflowPunct/>
        <w:topLinePunct w:val="0"/>
        <w:autoSpaceDE/>
        <w:bidi w:val="0"/>
        <w:adjustRightInd w:val="0"/>
        <w:snapToGrid w:val="0"/>
        <w:spacing w:line="560" w:lineRule="exact"/>
        <w:ind w:left="0" w:leftChars="0" w:firstLine="640"/>
        <w:textAlignment w:val="auto"/>
      </w:pPr>
      <w:r>
        <w:rPr>
          <w:rFonts w:hint="eastAsia" w:ascii="仿宋_GB2312" w:hAnsi="仿宋_GB2312" w:eastAsia="仿宋_GB2312" w:cs="仿宋_GB2312"/>
          <w:sz w:val="32"/>
          <w:szCs w:val="32"/>
        </w:rPr>
        <w:t>8.科创孵化板：</w:t>
      </w:r>
      <w:r>
        <w:rPr>
          <w:rFonts w:hint="eastAsia" w:ascii="仿宋_GB2312" w:hAnsi="宋体" w:eastAsia="仿宋_GB2312" w:cs="宋体"/>
          <w:sz w:val="32"/>
          <w:szCs w:val="32"/>
        </w:rPr>
        <w:t>是指在北京区域性股权市场（北京股权交易中心）设立的，专门为北京市孵化器中的优质硬科技小微企业提供资本市场合规服务以及展示的板块。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53CDC"/>
    <w:multiLevelType w:val="multilevel"/>
    <w:tmpl w:val="66453CDC"/>
    <w:lvl w:ilvl="0" w:tentative="0">
      <w:start w:val="1"/>
      <w:numFmt w:val="chineseCountingThousand"/>
      <w:pStyle w:val="4"/>
      <w:lvlText w:val="第%1条"/>
      <w:lvlJc w:val="left"/>
      <w:pPr>
        <w:ind w:left="987" w:hanging="420"/>
      </w:pPr>
      <w:rPr>
        <w:rFonts w:hint="eastAsia" w:ascii="仿宋_GB2312" w:hAnsi="黑体" w:eastAsia="仿宋_GB2312"/>
        <w:b/>
        <w:color w:val="000000"/>
        <w:sz w:val="32"/>
        <w:szCs w:val="32"/>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MGYzNWM1YmU4NzZiZDE2MmQ0MzEwNDY1ZDExYzUifQ=="/>
  </w:docVars>
  <w:rsids>
    <w:rsidRoot w:val="00000000"/>
    <w:rsid w:val="12130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条"/>
    <w:basedOn w:val="1"/>
    <w:qFormat/>
    <w:uiPriority w:val="99"/>
    <w:pPr>
      <w:numPr>
        <w:ilvl w:val="0"/>
        <w:numId w:val="1"/>
      </w:numPr>
      <w:ind w:firstLine="0"/>
    </w:pPr>
    <w:rPr>
      <w:rFonts w:hAnsi="Times New Roman"/>
      <w:szCs w:val="21"/>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2022-06-16T13:19:09Z</dcterms:created>
  <dc:creator>39353</dc:creator>
  <cp:lastModifiedBy>明天会更好</cp:lastModifiedBy>
  <dcterms:modified xsi:type="dcterms:W3CDTF">2022-06-16T13:19:17Z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062FC17A3B5447ACA30D7F7AA59BAAE0</vt:lpwstr>
  </property>
</Properties>
</file>