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62" w:rsidRDefault="004E6B62" w:rsidP="004E6B62">
      <w:pPr>
        <w:pStyle w:val="2"/>
        <w:keepNext w:val="0"/>
        <w:keepLines w:val="0"/>
        <w:widowControl/>
        <w:adjustRightInd/>
        <w:snapToGrid/>
        <w:spacing w:before="0" w:after="0" w:line="240" w:lineRule="auto"/>
        <w:ind w:firstLineChars="0" w:firstLine="0"/>
        <w:rPr>
          <w:rFonts w:ascii="黑体" w:eastAsia="黑体" w:hAnsi="黑体"/>
          <w:sz w:val="32"/>
        </w:rPr>
      </w:pPr>
      <w:bookmarkStart w:id="0" w:name="_Toc5045"/>
      <w:bookmarkStart w:id="1" w:name="_GoBack"/>
      <w:bookmarkEnd w:id="1"/>
      <w:r>
        <w:rPr>
          <w:rStyle w:val="2Char"/>
          <w:rFonts w:ascii="黑体" w:eastAsia="黑体" w:hAnsi="黑体" w:hint="eastAsia"/>
          <w:sz w:val="32"/>
        </w:rPr>
        <w:t>附件4</w:t>
      </w:r>
      <w:bookmarkEnd w:id="0"/>
    </w:p>
    <w:p w:rsidR="004E6B62" w:rsidRDefault="004E6B62" w:rsidP="004E6B62">
      <w:pPr>
        <w:widowControl/>
        <w:adjustRightInd/>
        <w:snapToGrid/>
        <w:spacing w:line="240" w:lineRule="auto"/>
        <w:ind w:firstLineChars="0" w:firstLine="0"/>
        <w:jc w:val="center"/>
        <w:rPr>
          <w:rFonts w:eastAsia="长城小标宋体"/>
          <w:b/>
          <w:bCs/>
          <w:sz w:val="36"/>
        </w:rPr>
      </w:pPr>
      <w:r>
        <w:rPr>
          <w:rFonts w:eastAsia="长城小标宋体"/>
          <w:b/>
          <w:bCs/>
          <w:sz w:val="36"/>
        </w:rPr>
        <w:t>高新技术企业认定</w:t>
      </w:r>
      <w:r>
        <w:rPr>
          <w:rFonts w:eastAsia="长城小标宋体" w:hint="eastAsia"/>
          <w:b/>
          <w:bCs/>
          <w:sz w:val="36"/>
        </w:rPr>
        <w:t>财务</w:t>
      </w:r>
      <w:r>
        <w:rPr>
          <w:rFonts w:eastAsia="长城小标宋体"/>
          <w:b/>
          <w:bCs/>
          <w:sz w:val="36"/>
        </w:rPr>
        <w:t>专家评价表</w:t>
      </w:r>
    </w:p>
    <w:tbl>
      <w:tblPr>
        <w:tblpPr w:leftFromText="180" w:rightFromText="180" w:vertAnchor="text" w:horzAnchor="margin" w:tblpXSpec="center" w:tblpY="2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125"/>
        <w:gridCol w:w="1905"/>
        <w:gridCol w:w="1395"/>
        <w:gridCol w:w="1390"/>
        <w:gridCol w:w="1783"/>
      </w:tblGrid>
      <w:tr w:rsidR="004E6B62" w:rsidTr="00E30FE2">
        <w:trPr>
          <w:cantSplit/>
          <w:trHeight w:val="567"/>
          <w:jc w:val="center"/>
        </w:trPr>
        <w:tc>
          <w:tcPr>
            <w:tcW w:w="2371" w:type="dxa"/>
            <w:gridSpan w:val="2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6473" w:type="dxa"/>
            <w:gridSpan w:val="4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4E6B62" w:rsidTr="00E30FE2">
        <w:trPr>
          <w:cantSplit/>
          <w:trHeight w:val="567"/>
          <w:jc w:val="center"/>
        </w:trPr>
        <w:tc>
          <w:tcPr>
            <w:tcW w:w="4276" w:type="dxa"/>
            <w:gridSpan w:val="3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企业提交的财务资料是否符合要求</w:t>
            </w:r>
          </w:p>
        </w:tc>
        <w:tc>
          <w:tcPr>
            <w:tcW w:w="4568" w:type="dxa"/>
            <w:gridSpan w:val="3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4E6B62" w:rsidTr="00E30FE2">
        <w:trPr>
          <w:cantSplit/>
          <w:trHeight w:val="794"/>
          <w:jc w:val="center"/>
        </w:trPr>
        <w:tc>
          <w:tcPr>
            <w:tcW w:w="2371" w:type="dxa"/>
            <w:gridSpan w:val="2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中介机构资质</w:t>
            </w:r>
          </w:p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是否符合要求</w:t>
            </w:r>
          </w:p>
        </w:tc>
        <w:tc>
          <w:tcPr>
            <w:tcW w:w="1905" w:type="dxa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  <w:tc>
          <w:tcPr>
            <w:tcW w:w="2785" w:type="dxa"/>
            <w:gridSpan w:val="2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中介机构出具的审计（</w:t>
            </w:r>
            <w:proofErr w:type="gramStart"/>
            <w:r>
              <w:rPr>
                <w:rFonts w:hAnsi="仿宋_GB2312" w:hint="eastAsia"/>
                <w:spacing w:val="-6"/>
                <w:sz w:val="24"/>
                <w:szCs w:val="24"/>
              </w:rPr>
              <w:t>鉴证</w:t>
            </w:r>
            <w:proofErr w:type="gramEnd"/>
            <w:r>
              <w:rPr>
                <w:rFonts w:hAnsi="仿宋_GB2312" w:hint="eastAsia"/>
                <w:spacing w:val="-6"/>
                <w:sz w:val="24"/>
                <w:szCs w:val="24"/>
              </w:rPr>
              <w:t>）报告是否符合要求</w:t>
            </w:r>
          </w:p>
        </w:tc>
        <w:tc>
          <w:tcPr>
            <w:tcW w:w="1783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4E6B62" w:rsidTr="00E30FE2">
        <w:tblPrEx>
          <w:tblCellMar>
            <w:left w:w="28" w:type="dxa"/>
            <w:right w:w="28" w:type="dxa"/>
          </w:tblCellMar>
        </w:tblPrEx>
        <w:trPr>
          <w:cantSplit/>
          <w:trHeight w:val="794"/>
          <w:jc w:val="center"/>
        </w:trPr>
        <w:tc>
          <w:tcPr>
            <w:tcW w:w="2371" w:type="dxa"/>
            <w:gridSpan w:val="2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近三年研究开发费用归集是否符合要求</w:t>
            </w:r>
          </w:p>
        </w:tc>
        <w:tc>
          <w:tcPr>
            <w:tcW w:w="1905" w:type="dxa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  <w:tc>
          <w:tcPr>
            <w:tcW w:w="2785" w:type="dxa"/>
            <w:gridSpan w:val="2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近一年高新技术产品（服务）收入归集是否符合要求</w:t>
            </w:r>
          </w:p>
        </w:tc>
        <w:tc>
          <w:tcPr>
            <w:tcW w:w="1783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□否</w:t>
            </w:r>
          </w:p>
        </w:tc>
      </w:tr>
      <w:tr w:rsidR="004E6B62" w:rsidTr="00E30FE2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1246" w:type="dxa"/>
            <w:vMerge w:val="restart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</w:t>
            </w:r>
          </w:p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销售收入</w:t>
            </w:r>
          </w:p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25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第一年</w:t>
            </w:r>
          </w:p>
        </w:tc>
        <w:tc>
          <w:tcPr>
            <w:tcW w:w="1905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</w:t>
            </w:r>
          </w:p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净资产</w:t>
            </w:r>
          </w:p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390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第一年</w:t>
            </w:r>
          </w:p>
        </w:tc>
        <w:tc>
          <w:tcPr>
            <w:tcW w:w="1783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4E6B62" w:rsidTr="00E30FE2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1246" w:type="dxa"/>
            <w:vMerge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第二年</w:t>
            </w:r>
          </w:p>
        </w:tc>
        <w:tc>
          <w:tcPr>
            <w:tcW w:w="1905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第二年</w:t>
            </w:r>
          </w:p>
        </w:tc>
        <w:tc>
          <w:tcPr>
            <w:tcW w:w="1783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4E6B62" w:rsidTr="00E30FE2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1246" w:type="dxa"/>
            <w:vMerge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第三年</w:t>
            </w:r>
          </w:p>
        </w:tc>
        <w:tc>
          <w:tcPr>
            <w:tcW w:w="1905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第三年</w:t>
            </w:r>
          </w:p>
        </w:tc>
        <w:tc>
          <w:tcPr>
            <w:tcW w:w="1783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4E6B62" w:rsidTr="00E30FE2">
        <w:trPr>
          <w:cantSplit/>
          <w:trHeight w:val="567"/>
          <w:jc w:val="center"/>
        </w:trPr>
        <w:tc>
          <w:tcPr>
            <w:tcW w:w="2371" w:type="dxa"/>
            <w:gridSpan w:val="2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净资产增长率</w:t>
            </w:r>
          </w:p>
        </w:tc>
        <w:tc>
          <w:tcPr>
            <w:tcW w:w="1905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销售收入增长率</w:t>
            </w:r>
          </w:p>
        </w:tc>
        <w:tc>
          <w:tcPr>
            <w:tcW w:w="1783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</w:tr>
      <w:tr w:rsidR="004E6B62" w:rsidTr="00E30FE2">
        <w:trPr>
          <w:cantSplit/>
          <w:trHeight w:val="567"/>
          <w:jc w:val="center"/>
        </w:trPr>
        <w:tc>
          <w:tcPr>
            <w:tcW w:w="2371" w:type="dxa"/>
            <w:gridSpan w:val="2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近三年销售收入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合计（万元）</w:t>
            </w:r>
          </w:p>
        </w:tc>
        <w:tc>
          <w:tcPr>
            <w:tcW w:w="1905" w:type="dxa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近一年企业总收入</w:t>
            </w:r>
          </w:p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4E6B62" w:rsidRDefault="004E6B62" w:rsidP="00E30FE2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4265"/>
        <w:gridCol w:w="1783"/>
      </w:tblGrid>
      <w:tr w:rsidR="004E6B62" w:rsidTr="00E30FE2">
        <w:trPr>
          <w:cantSplit/>
          <w:trHeight w:val="567"/>
          <w:jc w:val="center"/>
        </w:trPr>
        <w:tc>
          <w:tcPr>
            <w:tcW w:w="7061" w:type="dxa"/>
            <w:gridSpan w:val="2"/>
            <w:vAlign w:val="center"/>
          </w:tcPr>
          <w:p w:rsidR="004E6B62" w:rsidRDefault="004E6B62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企业成长性（</w:t>
            </w:r>
            <w:r>
              <w:rPr>
                <w:rFonts w:hAnsi="仿宋_GB2312" w:hint="eastAsia"/>
                <w:sz w:val="24"/>
                <w:szCs w:val="22"/>
              </w:rPr>
              <w:t>≤</w:t>
            </w:r>
            <w:r>
              <w:rPr>
                <w:rFonts w:hAnsi="仿宋_GB2312" w:hint="eastAsia"/>
                <w:sz w:val="24"/>
                <w:szCs w:val="24"/>
              </w:rPr>
              <w:t>20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</w:tc>
        <w:tc>
          <w:tcPr>
            <w:tcW w:w="1783" w:type="dxa"/>
            <w:vAlign w:val="center"/>
          </w:tcPr>
          <w:p w:rsidR="004E6B62" w:rsidRDefault="004E6B62" w:rsidP="00E30FE2">
            <w:pPr>
              <w:spacing w:line="276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合计：</w:t>
            </w:r>
          </w:p>
        </w:tc>
      </w:tr>
      <w:tr w:rsidR="004E6B62" w:rsidTr="00E30FE2">
        <w:trPr>
          <w:trHeight w:val="1500"/>
          <w:jc w:val="center"/>
        </w:trPr>
        <w:tc>
          <w:tcPr>
            <w:tcW w:w="7061" w:type="dxa"/>
            <w:gridSpan w:val="2"/>
            <w:vAlign w:val="center"/>
          </w:tcPr>
          <w:p w:rsidR="004E6B62" w:rsidRDefault="004E6B62" w:rsidP="00E30FE2">
            <w:pPr>
              <w:spacing w:line="276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净资产增长率（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≤</w:t>
            </w:r>
            <w:r>
              <w:rPr>
                <w:rFonts w:hAnsi="仿宋_GB2312" w:hint="eastAsia"/>
                <w:sz w:val="24"/>
                <w:szCs w:val="24"/>
              </w:rPr>
              <w:t>10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  <w:p w:rsidR="004E6B62" w:rsidRDefault="004E6B62" w:rsidP="00E30FE2">
            <w:pPr>
              <w:spacing w:line="276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A. </w:t>
            </w:r>
            <w:r>
              <w:rPr>
                <w:rFonts w:hAnsi="仿宋_GB2312" w:hint="eastAsia"/>
                <w:sz w:val="24"/>
                <w:szCs w:val="28"/>
              </w:rPr>
              <w:t>≥</w:t>
            </w:r>
            <w:r>
              <w:rPr>
                <w:rFonts w:hAnsi="仿宋_GB2312" w:hint="eastAsia"/>
                <w:sz w:val="24"/>
                <w:szCs w:val="28"/>
              </w:rPr>
              <w:t xml:space="preserve">35%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9-10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B. </w:t>
            </w:r>
            <w:r>
              <w:rPr>
                <w:rFonts w:hAnsi="仿宋_GB2312" w:hint="eastAsia"/>
                <w:sz w:val="24"/>
                <w:szCs w:val="28"/>
              </w:rPr>
              <w:t>≥</w:t>
            </w:r>
            <w:r>
              <w:rPr>
                <w:rFonts w:hAnsi="仿宋_GB2312" w:hint="eastAsia"/>
                <w:sz w:val="24"/>
                <w:szCs w:val="28"/>
              </w:rPr>
              <w:t xml:space="preserve">25%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7-8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</w:t>
            </w:r>
          </w:p>
          <w:p w:rsidR="004E6B62" w:rsidRDefault="004E6B62" w:rsidP="00E30FE2">
            <w:pPr>
              <w:spacing w:line="276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C. </w:t>
            </w:r>
            <w:r>
              <w:rPr>
                <w:rFonts w:hAnsi="仿宋_GB2312" w:hint="eastAsia"/>
                <w:sz w:val="24"/>
                <w:szCs w:val="28"/>
              </w:rPr>
              <w:t>≥</w:t>
            </w:r>
            <w:r>
              <w:rPr>
                <w:rFonts w:hAnsi="仿宋_GB2312" w:hint="eastAsia"/>
                <w:sz w:val="24"/>
                <w:szCs w:val="28"/>
              </w:rPr>
              <w:t xml:space="preserve">15%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5-6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D. </w:t>
            </w:r>
            <w:r>
              <w:rPr>
                <w:rFonts w:hAnsi="仿宋_GB2312" w:hint="eastAsia"/>
                <w:sz w:val="24"/>
                <w:szCs w:val="24"/>
              </w:rPr>
              <w:t>＞</w:t>
            </w:r>
            <w:r>
              <w:rPr>
                <w:rFonts w:hAnsi="仿宋_GB2312" w:hint="eastAsia"/>
                <w:sz w:val="24"/>
                <w:szCs w:val="24"/>
              </w:rPr>
              <w:t xml:space="preserve">5%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3-4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</w:t>
            </w:r>
          </w:p>
          <w:p w:rsidR="004E6B62" w:rsidRDefault="004E6B62" w:rsidP="00E30FE2">
            <w:pPr>
              <w:spacing w:line="276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E. </w:t>
            </w:r>
            <w:r>
              <w:rPr>
                <w:rFonts w:hAnsi="仿宋_GB2312" w:hint="eastAsia"/>
                <w:sz w:val="24"/>
                <w:szCs w:val="24"/>
              </w:rPr>
              <w:t>＞</w:t>
            </w:r>
            <w:r>
              <w:rPr>
                <w:rFonts w:hAnsi="仿宋_GB2312" w:hint="eastAsia"/>
                <w:sz w:val="24"/>
                <w:szCs w:val="24"/>
              </w:rPr>
              <w:t xml:space="preserve">0  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1-2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F. </w:t>
            </w:r>
            <w:r>
              <w:rPr>
                <w:rFonts w:hAnsi="仿宋_GB2312" w:hint="eastAsia"/>
                <w:sz w:val="24"/>
                <w:szCs w:val="22"/>
              </w:rPr>
              <w:t>≤</w:t>
            </w:r>
            <w:r>
              <w:rPr>
                <w:rFonts w:hAnsi="仿宋_GB2312" w:hint="eastAsia"/>
                <w:sz w:val="24"/>
                <w:szCs w:val="22"/>
              </w:rPr>
              <w:t xml:space="preserve">0  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z w:val="24"/>
                <w:szCs w:val="18"/>
              </w:rPr>
              <w:t xml:space="preserve">       </w:t>
            </w:r>
          </w:p>
        </w:tc>
        <w:tc>
          <w:tcPr>
            <w:tcW w:w="1783" w:type="dxa"/>
            <w:vAlign w:val="center"/>
          </w:tcPr>
          <w:p w:rsidR="004E6B62" w:rsidRDefault="004E6B62" w:rsidP="00E30FE2">
            <w:pPr>
              <w:spacing w:line="276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4E6B62" w:rsidTr="00E30FE2">
        <w:trPr>
          <w:trHeight w:val="1500"/>
          <w:jc w:val="center"/>
        </w:trPr>
        <w:tc>
          <w:tcPr>
            <w:tcW w:w="7061" w:type="dxa"/>
            <w:gridSpan w:val="2"/>
            <w:vAlign w:val="center"/>
          </w:tcPr>
          <w:p w:rsidR="004E6B62" w:rsidRDefault="004E6B62" w:rsidP="00E30FE2">
            <w:pPr>
              <w:spacing w:line="276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销售收入增长率（</w:t>
            </w:r>
            <w:r>
              <w:rPr>
                <w:rFonts w:hAnsi="仿宋_GB2312" w:cs="宋体" w:hint="eastAsia"/>
                <w:kern w:val="0"/>
                <w:sz w:val="24"/>
                <w:szCs w:val="22"/>
              </w:rPr>
              <w:t>≤</w:t>
            </w:r>
            <w:r>
              <w:rPr>
                <w:rFonts w:hAnsi="仿宋_GB2312" w:hint="eastAsia"/>
                <w:sz w:val="24"/>
                <w:szCs w:val="24"/>
              </w:rPr>
              <w:t>10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</w:p>
          <w:p w:rsidR="004E6B62" w:rsidRDefault="004E6B62" w:rsidP="00E30FE2">
            <w:pPr>
              <w:spacing w:line="276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A. </w:t>
            </w:r>
            <w:r>
              <w:rPr>
                <w:rFonts w:hAnsi="仿宋_GB2312" w:hint="eastAsia"/>
                <w:sz w:val="24"/>
                <w:szCs w:val="28"/>
              </w:rPr>
              <w:t>≥</w:t>
            </w:r>
            <w:r>
              <w:rPr>
                <w:rFonts w:hAnsi="仿宋_GB2312" w:hint="eastAsia"/>
                <w:sz w:val="24"/>
                <w:szCs w:val="28"/>
              </w:rPr>
              <w:t xml:space="preserve">35%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9-10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B. </w:t>
            </w:r>
            <w:r>
              <w:rPr>
                <w:rFonts w:hAnsi="仿宋_GB2312" w:hint="eastAsia"/>
                <w:sz w:val="24"/>
                <w:szCs w:val="28"/>
              </w:rPr>
              <w:t>≥</w:t>
            </w:r>
            <w:r>
              <w:rPr>
                <w:rFonts w:hAnsi="仿宋_GB2312" w:hint="eastAsia"/>
                <w:sz w:val="24"/>
                <w:szCs w:val="28"/>
              </w:rPr>
              <w:t xml:space="preserve">25%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7-8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</w:t>
            </w:r>
          </w:p>
          <w:p w:rsidR="004E6B62" w:rsidRDefault="004E6B62" w:rsidP="00E30FE2">
            <w:pPr>
              <w:spacing w:line="276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C. </w:t>
            </w:r>
            <w:r>
              <w:rPr>
                <w:rFonts w:hAnsi="仿宋_GB2312" w:hint="eastAsia"/>
                <w:sz w:val="24"/>
                <w:szCs w:val="28"/>
              </w:rPr>
              <w:t>≥</w:t>
            </w:r>
            <w:r>
              <w:rPr>
                <w:rFonts w:hAnsi="仿宋_GB2312" w:hint="eastAsia"/>
                <w:sz w:val="24"/>
                <w:szCs w:val="28"/>
              </w:rPr>
              <w:t xml:space="preserve">15%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5-6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D. </w:t>
            </w:r>
            <w:r>
              <w:rPr>
                <w:rFonts w:hAnsi="仿宋_GB2312" w:hint="eastAsia"/>
                <w:sz w:val="24"/>
                <w:szCs w:val="24"/>
              </w:rPr>
              <w:t>＞</w:t>
            </w:r>
            <w:r>
              <w:rPr>
                <w:rFonts w:hAnsi="仿宋_GB2312" w:hint="eastAsia"/>
                <w:sz w:val="24"/>
                <w:szCs w:val="24"/>
              </w:rPr>
              <w:t xml:space="preserve">5%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3-4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</w:t>
            </w:r>
          </w:p>
          <w:p w:rsidR="004E6B62" w:rsidRDefault="004E6B62" w:rsidP="00E30FE2">
            <w:pPr>
              <w:spacing w:line="276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 xml:space="preserve">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E. </w:t>
            </w:r>
            <w:r>
              <w:rPr>
                <w:rFonts w:hAnsi="仿宋_GB2312" w:hint="eastAsia"/>
                <w:sz w:val="24"/>
                <w:szCs w:val="24"/>
              </w:rPr>
              <w:t>＞</w:t>
            </w:r>
            <w:r>
              <w:rPr>
                <w:rFonts w:hAnsi="仿宋_GB2312" w:hint="eastAsia"/>
                <w:sz w:val="24"/>
                <w:szCs w:val="24"/>
              </w:rPr>
              <w:t xml:space="preserve">0  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1-2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</w:t>
            </w:r>
            <w:r>
              <w:rPr>
                <w:rFonts w:hAnsi="仿宋_GB2312" w:hint="eastAsia"/>
                <w:sz w:val="24"/>
                <w:szCs w:val="24"/>
              </w:rPr>
              <w:t>□</w:t>
            </w:r>
            <w:r>
              <w:rPr>
                <w:rFonts w:hAnsi="仿宋_GB2312" w:hint="eastAsia"/>
                <w:sz w:val="24"/>
                <w:szCs w:val="24"/>
              </w:rPr>
              <w:t xml:space="preserve">F. </w:t>
            </w:r>
            <w:r>
              <w:rPr>
                <w:rFonts w:hAnsi="仿宋_GB2312" w:hint="eastAsia"/>
                <w:sz w:val="24"/>
                <w:szCs w:val="22"/>
              </w:rPr>
              <w:t>≤</w:t>
            </w:r>
            <w:r>
              <w:rPr>
                <w:rFonts w:hAnsi="仿宋_GB2312" w:hint="eastAsia"/>
                <w:sz w:val="24"/>
                <w:szCs w:val="22"/>
              </w:rPr>
              <w:t xml:space="preserve">0    </w:t>
            </w:r>
            <w:r>
              <w:rPr>
                <w:rFonts w:hAnsi="仿宋_GB2312" w:hint="eastAsia"/>
                <w:sz w:val="24"/>
                <w:szCs w:val="24"/>
              </w:rPr>
              <w:t>（</w:t>
            </w:r>
            <w:r>
              <w:rPr>
                <w:rFonts w:hAnsi="仿宋_GB2312" w:hint="eastAsia"/>
                <w:sz w:val="24"/>
                <w:szCs w:val="24"/>
              </w:rPr>
              <w:t>0</w:t>
            </w:r>
            <w:r>
              <w:rPr>
                <w:rFonts w:hAnsi="仿宋_GB2312" w:hint="eastAsia"/>
                <w:sz w:val="24"/>
                <w:szCs w:val="24"/>
              </w:rPr>
              <w:t>分）</w:t>
            </w:r>
            <w:r>
              <w:rPr>
                <w:rFonts w:hAnsi="仿宋_GB2312" w:hint="eastAsia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z w:val="24"/>
                <w:szCs w:val="18"/>
              </w:rPr>
              <w:t xml:space="preserve">        </w:t>
            </w:r>
          </w:p>
        </w:tc>
        <w:tc>
          <w:tcPr>
            <w:tcW w:w="1783" w:type="dxa"/>
            <w:vAlign w:val="center"/>
          </w:tcPr>
          <w:p w:rsidR="004E6B62" w:rsidRDefault="004E6B62" w:rsidP="00E30FE2">
            <w:pPr>
              <w:spacing w:line="276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得分：</w:t>
            </w:r>
          </w:p>
        </w:tc>
      </w:tr>
      <w:tr w:rsidR="004E6B62" w:rsidTr="00E30FE2">
        <w:trPr>
          <w:cantSplit/>
          <w:trHeight w:val="769"/>
          <w:jc w:val="center"/>
        </w:trPr>
        <w:tc>
          <w:tcPr>
            <w:tcW w:w="2796" w:type="dxa"/>
            <w:vAlign w:val="center"/>
          </w:tcPr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对企业财务状况的</w:t>
            </w:r>
          </w:p>
          <w:p w:rsidR="004E6B62" w:rsidRDefault="004E6B6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综合评价</w:t>
            </w:r>
          </w:p>
        </w:tc>
        <w:tc>
          <w:tcPr>
            <w:tcW w:w="6048" w:type="dxa"/>
            <w:gridSpan w:val="2"/>
            <w:vAlign w:val="center"/>
          </w:tcPr>
          <w:p w:rsidR="004E6B62" w:rsidRDefault="004E6B62" w:rsidP="00E30FE2">
            <w:pPr>
              <w:spacing w:line="276" w:lineRule="auto"/>
              <w:ind w:firstLineChars="0" w:firstLine="0"/>
              <w:jc w:val="center"/>
              <w:rPr>
                <w:rFonts w:hAnsi="仿宋_GB2312"/>
                <w:bCs/>
                <w:sz w:val="24"/>
                <w:szCs w:val="24"/>
              </w:rPr>
            </w:pPr>
          </w:p>
        </w:tc>
      </w:tr>
      <w:tr w:rsidR="004E6B62" w:rsidTr="00E30FE2">
        <w:trPr>
          <w:cantSplit/>
          <w:trHeight w:val="822"/>
          <w:jc w:val="center"/>
        </w:trPr>
        <w:tc>
          <w:tcPr>
            <w:tcW w:w="8844" w:type="dxa"/>
            <w:gridSpan w:val="3"/>
            <w:vAlign w:val="center"/>
          </w:tcPr>
          <w:p w:rsidR="004E6B62" w:rsidRDefault="004E6B62" w:rsidP="00E30FE2">
            <w:pPr>
              <w:spacing w:line="276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专家签名：</w:t>
            </w:r>
            <w:r>
              <w:rPr>
                <w:rFonts w:hAnsi="仿宋_GB2312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Ansi="仿宋_GB2312" w:hint="eastAsia"/>
                <w:sz w:val="24"/>
                <w:szCs w:val="24"/>
              </w:rPr>
              <w:t>年</w:t>
            </w:r>
            <w:r>
              <w:rPr>
                <w:rFonts w:hAnsi="仿宋_GB2312" w:hint="eastAsia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sz w:val="24"/>
                <w:szCs w:val="24"/>
              </w:rPr>
              <w:t>月</w:t>
            </w:r>
            <w:r>
              <w:rPr>
                <w:rFonts w:hAnsi="仿宋_GB2312" w:hint="eastAsia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sz w:val="24"/>
                <w:szCs w:val="24"/>
              </w:rPr>
              <w:t>日</w:t>
            </w:r>
          </w:p>
        </w:tc>
      </w:tr>
    </w:tbl>
    <w:p w:rsidR="007D4259" w:rsidRDefault="007D4259" w:rsidP="004E6B62">
      <w:pPr>
        <w:ind w:firstLineChars="0" w:firstLine="0"/>
      </w:pPr>
    </w:p>
    <w:sectPr w:rsidR="007D4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F8" w:rsidRDefault="00152EF8" w:rsidP="0061059C">
      <w:pPr>
        <w:spacing w:line="240" w:lineRule="auto"/>
      </w:pPr>
      <w:r>
        <w:separator/>
      </w:r>
    </w:p>
  </w:endnote>
  <w:endnote w:type="continuationSeparator" w:id="0">
    <w:p w:rsidR="00152EF8" w:rsidRDefault="00152EF8" w:rsidP="00610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9C" w:rsidRDefault="0061059C" w:rsidP="0061059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9C" w:rsidRDefault="0061059C" w:rsidP="0061059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9C" w:rsidRDefault="0061059C" w:rsidP="0061059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F8" w:rsidRDefault="00152EF8" w:rsidP="0061059C">
      <w:pPr>
        <w:spacing w:line="240" w:lineRule="auto"/>
      </w:pPr>
      <w:r>
        <w:separator/>
      </w:r>
    </w:p>
  </w:footnote>
  <w:footnote w:type="continuationSeparator" w:id="0">
    <w:p w:rsidR="00152EF8" w:rsidRDefault="00152EF8" w:rsidP="00610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9C" w:rsidRDefault="0061059C" w:rsidP="0061059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9C" w:rsidRDefault="0061059C" w:rsidP="0061059C">
    <w:pPr>
      <w:pStyle w:val="a3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9C" w:rsidRDefault="0061059C" w:rsidP="0061059C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62"/>
    <w:rsid w:val="00152EF8"/>
    <w:rsid w:val="004E6B62"/>
    <w:rsid w:val="0061059C"/>
    <w:rsid w:val="007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2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4E6B62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E6B62"/>
    <w:rPr>
      <w:rFonts w:ascii="Cambria" w:eastAsia="仿宋_GB2312" w:hAnsi="Cambria" w:cs="Times New Roman"/>
      <w:bCs/>
      <w:spacing w:val="-4"/>
      <w:sz w:val="30"/>
      <w:szCs w:val="32"/>
    </w:rPr>
  </w:style>
  <w:style w:type="paragraph" w:customStyle="1" w:styleId="CharChar1">
    <w:name w:val="Char Char1"/>
    <w:basedOn w:val="a"/>
    <w:rsid w:val="004E6B62"/>
    <w:pPr>
      <w:tabs>
        <w:tab w:val="left" w:pos="720"/>
      </w:tabs>
      <w:ind w:left="720" w:hanging="720"/>
    </w:pPr>
  </w:style>
  <w:style w:type="paragraph" w:styleId="a3">
    <w:name w:val="header"/>
    <w:basedOn w:val="a"/>
    <w:link w:val="Char"/>
    <w:uiPriority w:val="99"/>
    <w:unhideWhenUsed/>
    <w:rsid w:val="0061059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59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59C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59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2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4E6B62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E6B62"/>
    <w:rPr>
      <w:rFonts w:ascii="Cambria" w:eastAsia="仿宋_GB2312" w:hAnsi="Cambria" w:cs="Times New Roman"/>
      <w:bCs/>
      <w:spacing w:val="-4"/>
      <w:sz w:val="30"/>
      <w:szCs w:val="32"/>
    </w:rPr>
  </w:style>
  <w:style w:type="paragraph" w:customStyle="1" w:styleId="CharChar1">
    <w:name w:val="Char Char1"/>
    <w:basedOn w:val="a"/>
    <w:rsid w:val="004E6B62"/>
    <w:pPr>
      <w:tabs>
        <w:tab w:val="left" w:pos="720"/>
      </w:tabs>
      <w:ind w:left="720" w:hanging="720"/>
    </w:pPr>
  </w:style>
  <w:style w:type="paragraph" w:styleId="a3">
    <w:name w:val="header"/>
    <w:basedOn w:val="a"/>
    <w:link w:val="Char"/>
    <w:uiPriority w:val="99"/>
    <w:unhideWhenUsed/>
    <w:rsid w:val="0061059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59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59C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59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2020-02-27T07:17:00Z</dcterms:created>
  <dcterms:modified xsi:type="dcterms:W3CDTF">2020-02-27T07:32:00Z</dcterms:modified>
</cp:coreProperties>
</file>